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DE1D14" w:rsidRDefault="003F588E" w:rsidP="00DE1D1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DE1D14">
        <w:rPr>
          <w:rFonts w:ascii="Noor_Badr" w:hAnsi="Noor_Badr" w:cs="Noor_Badr"/>
          <w:sz w:val="32"/>
          <w:szCs w:val="32"/>
          <w:rtl/>
          <w:lang w:bidi="fa-IR"/>
        </w:rPr>
        <w:t>خارج اصول</w:t>
      </w:r>
    </w:p>
    <w:p w:rsidR="003F588E" w:rsidRPr="00DE1D14" w:rsidRDefault="003F588E" w:rsidP="00DE1D14">
      <w:pPr>
        <w:pBdr>
          <w:bottom w:val="single" w:sz="12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sz w:val="32"/>
          <w:szCs w:val="32"/>
          <w:rtl/>
          <w:lang w:bidi="fa-IR"/>
        </w:rPr>
        <w:t xml:space="preserve">جلسه 61      </w:t>
      </w:r>
      <w:r w:rsidR="00DD7A3A" w:rsidRPr="00DE1D14">
        <w:rPr>
          <w:rFonts w:ascii="Noor_Badr" w:hAnsi="Noor_Badr" w:cs="Noor_Badr"/>
          <w:sz w:val="32"/>
          <w:szCs w:val="32"/>
          <w:rtl/>
          <w:lang w:bidi="fa-IR"/>
        </w:rPr>
        <w:t xml:space="preserve">                              </w:t>
      </w:r>
      <w:r w:rsidRPr="00DE1D14">
        <w:rPr>
          <w:rFonts w:ascii="Noor_Badr" w:hAnsi="Noor_Badr" w:cs="Noor_Badr"/>
          <w:sz w:val="32"/>
          <w:szCs w:val="32"/>
          <w:rtl/>
          <w:lang w:bidi="fa-IR"/>
        </w:rPr>
        <w:t xml:space="preserve">             دوشنبه 17/ </w:t>
      </w:r>
      <w:r w:rsidR="00DD7A3A" w:rsidRPr="00DE1D14">
        <w:rPr>
          <w:rFonts w:ascii="Noor_Badr" w:hAnsi="Noor_Badr" w:cs="Noor_Badr"/>
          <w:sz w:val="32"/>
          <w:szCs w:val="32"/>
          <w:rtl/>
          <w:lang w:bidi="fa-IR"/>
        </w:rPr>
        <w:t>10</w:t>
      </w:r>
      <w:r w:rsidRPr="00DE1D14">
        <w:rPr>
          <w:rFonts w:ascii="Noor_Badr" w:hAnsi="Noor_Badr" w:cs="Noor_Badr"/>
          <w:sz w:val="32"/>
          <w:szCs w:val="32"/>
          <w:rtl/>
          <w:lang w:bidi="fa-IR"/>
        </w:rPr>
        <w:t>/ 97</w:t>
      </w:r>
    </w:p>
    <w:p w:rsidR="003F588E" w:rsidRPr="00DE1D14" w:rsidRDefault="003F588E" w:rsidP="00DE1D1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3F588E" w:rsidRPr="00DE1D14" w:rsidRDefault="003F588E" w:rsidP="00DE1D1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sz w:val="32"/>
          <w:szCs w:val="32"/>
          <w:rtl/>
          <w:lang w:bidi="fa-IR"/>
        </w:rPr>
        <w:t>و من استغنى بعقله زلّ.</w:t>
      </w:r>
    </w:p>
    <w:p w:rsidR="00F85592" w:rsidRPr="00DE1D14" w:rsidRDefault="00F85592" w:rsidP="00DE1D1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sz w:val="32"/>
          <w:szCs w:val="32"/>
          <w:rtl/>
          <w:lang w:bidi="fa-IR"/>
        </w:rPr>
        <w:t>اعتماد به عقل خود باعث لغزش است.</w:t>
      </w:r>
    </w:p>
    <w:p w:rsidR="00A960C5" w:rsidRPr="00DE1D14" w:rsidRDefault="00A960C5" w:rsidP="00DE1D14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A960C5" w:rsidRPr="00DE1D14" w:rsidRDefault="0082533A" w:rsidP="00DE1D14">
      <w:pPr>
        <w:bidi/>
        <w:jc w:val="both"/>
        <w:rPr>
          <w:rFonts w:ascii="Noor_Badr" w:hAnsi="Noor_Badr" w:cs="Noor_Badr"/>
          <w:noProof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ادامه ی توضیح عبارت کفایه</w:t>
      </w:r>
    </w:p>
    <w:p w:rsidR="0082533A" w:rsidRPr="00DE1D14" w:rsidRDefault="0082533A" w:rsidP="00DE1D14">
      <w:pPr>
        <w:bidi/>
        <w:jc w:val="both"/>
        <w:rPr>
          <w:rFonts w:ascii="Noor_Badr" w:hAnsi="Noor_Badr" w:cs="Noor_Badr"/>
          <w:noProof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مرحوم آخوند فرمود:</w:t>
      </w:r>
    </w:p>
    <w:p w:rsidR="0082533A" w:rsidRPr="00DE1D14" w:rsidRDefault="0082533A" w:rsidP="00DE1D14">
      <w:pPr>
        <w:bidi/>
        <w:jc w:val="both"/>
        <w:rPr>
          <w:rFonts w:ascii="Noor_Badr" w:hAnsi="Noor_Badr" w:cs="Noor_Badr"/>
          <w:noProof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و لا يخفى أنّ قضيّة إطلاق دليل الحجّيّة على هذا(السببیة)هو الاجتزاء بموافقته أيضا.</w:t>
      </w:r>
    </w:p>
    <w:p w:rsidR="00B55C6C" w:rsidRPr="00DE1D14" w:rsidRDefault="00B55C6C" w:rsidP="00DE1D14">
      <w:pPr>
        <w:bidi/>
        <w:jc w:val="both"/>
        <w:rPr>
          <w:rFonts w:ascii="Noor_Badr" w:hAnsi="Noor_Badr" w:cs="Noor_Badr"/>
          <w:noProof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آخوند با این عبارت اشاره می کند به اختلاف در باب امارات به اینکه بعضی به سببیت</w:t>
      </w:r>
      <w:r w:rsidR="00467F92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 قائل</w:t>
      </w: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 اند </w:t>
      </w:r>
      <w:r w:rsidR="00467F92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(</w:t>
      </w: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که</w:t>
      </w:r>
      <w:r w:rsidR="00C62614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 این</w:t>
      </w: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 خود</w:t>
      </w:r>
      <w:r w:rsidR="00C62614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 </w:t>
      </w:r>
      <w:r w:rsidR="00467F92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دو قسم است: </w:t>
      </w: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اشعری و معتزلی)، بعضی به طریقیت محضه و بعضی به مصلحت سلوکیه؛</w:t>
      </w:r>
    </w:p>
    <w:p w:rsidR="00B55C6C" w:rsidRPr="00DE1D14" w:rsidRDefault="00B55C6C" w:rsidP="00DE1D14">
      <w:pPr>
        <w:bidi/>
        <w:jc w:val="both"/>
        <w:rPr>
          <w:rFonts w:ascii="Noor_Badr" w:hAnsi="Noor_Badr" w:cs="Noor_Badr"/>
          <w:noProof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چون سببیت </w:t>
      </w:r>
      <w:r w:rsidR="001F6F00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(هم </w:t>
      </w: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معتزلی و</w:t>
      </w:r>
      <w:r w:rsidR="001F6F00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 هم اشعری هر دو) </w:t>
      </w: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موجب تصویب می شود، هیچکدام در مذهب شیعه ی اثنی عشریه </w:t>
      </w:r>
      <w:r w:rsidR="001F6F00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قابل</w:t>
      </w: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 قبول نیست؛ بر این اساس، کل مبحث امارات را در دو مرحله بررسی می کنیم زیرا حکم ظاهری مستفاد از اصل غیر تحکّمی و اماره، دو مرحله دارد:</w:t>
      </w:r>
    </w:p>
    <w:p w:rsidR="00B55C6C" w:rsidRPr="00DE1D14" w:rsidRDefault="00B55C6C" w:rsidP="00DE1D14">
      <w:pPr>
        <w:bidi/>
        <w:jc w:val="both"/>
        <w:rPr>
          <w:rFonts w:ascii="Noor_Badr" w:hAnsi="Noor_Badr" w:cs="Noor_Badr"/>
          <w:noProof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1-شبهات موضوعیة</w:t>
      </w:r>
    </w:p>
    <w:p w:rsidR="00B55C6C" w:rsidRPr="00DE1D14" w:rsidRDefault="00B55C6C" w:rsidP="00DE1D14">
      <w:pPr>
        <w:bidi/>
        <w:jc w:val="both"/>
        <w:rPr>
          <w:rFonts w:ascii="Noor_Badr" w:hAnsi="Noor_Badr" w:cs="Noor_Badr"/>
          <w:noProof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lastRenderedPageBreak/>
        <w:t>2-شبهات حکمیة</w:t>
      </w:r>
    </w:p>
    <w:p w:rsidR="00B55C6C" w:rsidRPr="00DE1D14" w:rsidRDefault="00B55C6C" w:rsidP="00DE1D14">
      <w:pPr>
        <w:bidi/>
        <w:jc w:val="both"/>
        <w:rPr>
          <w:rFonts w:ascii="Noor_Badr" w:hAnsi="Noor_Badr" w:cs="Noor_Badr"/>
          <w:noProof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اما مرحله ی اول(شبهات موضوعیه):</w:t>
      </w:r>
    </w:p>
    <w:p w:rsidR="00B55C6C" w:rsidRPr="00DE1D14" w:rsidRDefault="00232C84" w:rsidP="00DE1D14">
      <w:pPr>
        <w:bidi/>
        <w:jc w:val="both"/>
        <w:rPr>
          <w:rFonts w:ascii="Noor_Badr" w:hAnsi="Noor_Badr" w:cs="Noor_Badr"/>
          <w:noProof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هرگاه اماره بر موضوعی قائم</w:t>
      </w:r>
      <w:r w:rsidR="00B55C6C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 شود</w:t>
      </w:r>
      <w:r w:rsidR="000A7045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 و سپس کشف خلاف شود، اصل</w:t>
      </w:r>
      <w:r w:rsidR="00EA563D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،</w:t>
      </w:r>
      <w:r w:rsidR="000A7045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 عدم إجزاست عقلا و نقلا؛ این امری واضح است و نیاز به برهان ندارد لکن بعضی توهم إجزا نموده اند و وجوهی را </w:t>
      </w:r>
      <w:r w:rsidR="00154095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برای إجزا ذکر کرده اند:</w:t>
      </w:r>
    </w:p>
    <w:p w:rsidR="00154095" w:rsidRPr="00DE1D14" w:rsidRDefault="00154095" w:rsidP="00DE1D14">
      <w:pPr>
        <w:bidi/>
        <w:jc w:val="both"/>
        <w:rPr>
          <w:rFonts w:ascii="Noor_Badr" w:hAnsi="Noor_Badr" w:cs="Noor_Badr"/>
          <w:noProof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وجه اول</w:t>
      </w:r>
    </w:p>
    <w:p w:rsidR="00154095" w:rsidRPr="00DE1D14" w:rsidRDefault="00EA563D" w:rsidP="00DE1D14">
      <w:pPr>
        <w:bidi/>
        <w:jc w:val="both"/>
        <w:rPr>
          <w:rFonts w:ascii="Noor_Badr" w:hAnsi="Noor_Badr" w:cs="Noor_Badr"/>
          <w:noProof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اگر مامور</w:t>
      </w:r>
      <w:r w:rsidR="00154095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به </w:t>
      </w: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بر طبق</w:t>
      </w:r>
      <w:r w:rsidR="00154095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 اماره انجام شده، عمل به حجت شده است و آمدن حجت دیگر بر خلاف آن، حجیت اماره ی اول را منتفی نمی کند بنابراین مکلف، عملش را مطابق با حجت شرعی آورده است پس مجزی است.</w:t>
      </w:r>
    </w:p>
    <w:p w:rsidR="00154095" w:rsidRPr="00DE1D14" w:rsidRDefault="00154095" w:rsidP="00DE1D14">
      <w:pPr>
        <w:bidi/>
        <w:jc w:val="both"/>
        <w:rPr>
          <w:rFonts w:ascii="Noor_Badr" w:hAnsi="Noor_Badr" w:cs="Noor_Badr"/>
          <w:noProof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جواب</w:t>
      </w:r>
    </w:p>
    <w:p w:rsidR="00154095" w:rsidRPr="00DE1D14" w:rsidRDefault="00154095" w:rsidP="00DE1D14">
      <w:pPr>
        <w:bidi/>
        <w:jc w:val="both"/>
        <w:rPr>
          <w:rFonts w:ascii="Noor_Badr" w:hAnsi="Noor_Badr" w:cs="Noor_Badr"/>
          <w:noProof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آری! حجت اول در زمان خودش، حجت بوده است ولی با آمدن حجت دوم بر خلاف آن، حجیت اش منتفی می شود زیرا حجت دوم می گوید: حجت اول مطابق واقع نبوده است لذا واقع از مکلف فو</w:t>
      </w:r>
      <w:r w:rsidR="00E83FB7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ت شده است و چون مسلک ما در امارات سببیت نیس</w:t>
      </w:r>
      <w:r w:rsidR="00860090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ت، حجت اول هیچ مصلحت و جایگیزینی</w:t>
      </w:r>
      <w:r w:rsidR="00E83FB7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 برای واقع ایجاد نکرده بلکه حجیت اماره بمعنای معذریت و منجزیت است و </w:t>
      </w:r>
      <w:r w:rsidR="00860090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با کشف خلاف، منجزیت ازبین می رود</w:t>
      </w:r>
      <w:r w:rsidR="00E83FB7"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 xml:space="preserve"> و معذریت باقی می ماند لکن واقع بدون تدارک باقی مانده و نیاز به اعاده و قضا دارد.</w:t>
      </w:r>
    </w:p>
    <w:p w:rsidR="00FF3FE7" w:rsidRPr="00DE1D14" w:rsidRDefault="00FF3FE7" w:rsidP="00DE1D14">
      <w:pPr>
        <w:bidi/>
        <w:jc w:val="both"/>
        <w:rPr>
          <w:rFonts w:ascii="Noor_Badr" w:hAnsi="Noor_Badr" w:cs="Noor_Badr"/>
          <w:noProof/>
          <w:sz w:val="32"/>
          <w:szCs w:val="32"/>
          <w:rtl/>
          <w:lang w:bidi="fa-IR"/>
        </w:rPr>
      </w:pPr>
      <w:r w:rsidRPr="00DE1D14">
        <w:rPr>
          <w:rFonts w:ascii="Noor_Badr" w:hAnsi="Noor_Badr" w:cs="Noor_Badr"/>
          <w:noProof/>
          <w:sz w:val="32"/>
          <w:szCs w:val="32"/>
          <w:rtl/>
          <w:lang w:bidi="fa-IR"/>
        </w:rPr>
        <w:t>(پایان)</w:t>
      </w:r>
      <w:bookmarkEnd w:id="0"/>
    </w:p>
    <w:sectPr w:rsidR="00FF3FE7" w:rsidRPr="00DE1D14" w:rsidSect="00A73D62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88E"/>
    <w:rsid w:val="000A7045"/>
    <w:rsid w:val="00154095"/>
    <w:rsid w:val="001F6F00"/>
    <w:rsid w:val="00232C84"/>
    <w:rsid w:val="003F588E"/>
    <w:rsid w:val="00467F92"/>
    <w:rsid w:val="005C7205"/>
    <w:rsid w:val="00785C24"/>
    <w:rsid w:val="0082533A"/>
    <w:rsid w:val="00860090"/>
    <w:rsid w:val="00A73D62"/>
    <w:rsid w:val="00A960C5"/>
    <w:rsid w:val="00B55C6C"/>
    <w:rsid w:val="00C62614"/>
    <w:rsid w:val="00DD7A3A"/>
    <w:rsid w:val="00DE1D14"/>
    <w:rsid w:val="00E83FB7"/>
    <w:rsid w:val="00EA563D"/>
    <w:rsid w:val="00F85592"/>
    <w:rsid w:val="00FF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16</cp:revision>
  <dcterms:created xsi:type="dcterms:W3CDTF">2019-02-07T17:31:00Z</dcterms:created>
  <dcterms:modified xsi:type="dcterms:W3CDTF">2020-08-24T02:21:00Z</dcterms:modified>
</cp:coreProperties>
</file>